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18" w:rsidRDefault="00A1335E">
      <w:r w:rsidRPr="00A1335E">
        <w:drawing>
          <wp:inline distT="0" distB="0" distL="0" distR="0">
            <wp:extent cx="5760720" cy="464851"/>
            <wp:effectExtent l="19050" t="0" r="0" b="0"/>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250" cy="714375"/>
                      <a:chOff x="142875" y="142875"/>
                      <a:chExt cx="8858250" cy="714375"/>
                    </a:xfrm>
                  </a:grpSpPr>
                  <a:sp>
                    <a:nvSpPr>
                      <a:cNvPr id="4" name="3 Başlık"/>
                      <a:cNvSpPr>
                        <a:spLocks noGrp="1"/>
                      </a:cNvSpPr>
                    </a:nvSpPr>
                    <a:spPr bwMode="auto">
                      <a:xfrm>
                        <a:off x="142875" y="142875"/>
                        <a:ext cx="8858250" cy="714375"/>
                      </a:xfrm>
                      <a:prstGeom prst="rect">
                        <a:avLst/>
                      </a:prstGeom>
                      <a:blipFill>
                        <a:blip r:embed="rId4" cstate="print"/>
                        <a:tile tx="0" ty="0" sx="100000" sy="100000" flip="none" algn="tl"/>
                      </a:blipFill>
                      <a:ln w="9525">
                        <a:noFill/>
                        <a:miter lim="800000"/>
                        <a:headEnd/>
                        <a:tailEnd/>
                      </a:ln>
                    </a:spPr>
                    <a:txSp>
                      <a:txBody>
                        <a:bodyPr vert="horz" wrap="square" lIns="91440" tIns="45720" rIns="91440" bIns="45720" numCol="1" anchor="ctr" anchorCtr="0" compatLnSpc="1">
                          <a:prstTxWarp prst="textNoShape">
                            <a:avLst/>
                          </a:prstTxWarp>
                          <a:normAutofit/>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hangingPunct="1">
                            <a:defRPr/>
                          </a:pPr>
                          <a:r>
                            <a:rPr lang="tr-TR" sz="1800" b="1" dirty="0" smtClean="0">
                              <a:solidFill>
                                <a:srgbClr val="000000"/>
                              </a:solidFill>
                              <a:latin typeface="Arial" charset="0"/>
                              <a:cs typeface="Arial" charset="0"/>
                            </a:rPr>
                            <a:t>KARAKÖY İLKOKULU</a:t>
                          </a:r>
                          <a:r>
                            <a:rPr lang="tr-TR" sz="1800" dirty="0" smtClean="0">
                              <a:solidFill>
                                <a:srgbClr val="000000"/>
                              </a:solidFill>
                              <a:latin typeface="Arial" charset="0"/>
                              <a:cs typeface="Arial" charset="0"/>
                            </a:rPr>
                            <a:t/>
                          </a:r>
                          <a:br>
                            <a:rPr lang="tr-TR" sz="1800" dirty="0" smtClean="0">
                              <a:solidFill>
                                <a:srgbClr val="000000"/>
                              </a:solidFill>
                              <a:latin typeface="Arial" charset="0"/>
                              <a:cs typeface="Arial" charset="0"/>
                            </a:rPr>
                          </a:br>
                          <a:r>
                            <a:rPr lang="tr-TR" sz="1800" b="1" dirty="0" smtClean="0">
                              <a:solidFill>
                                <a:srgbClr val="000000"/>
                              </a:solidFill>
                              <a:latin typeface="Arial" charset="0"/>
                              <a:cs typeface="Arial" charset="0"/>
                            </a:rPr>
                            <a:t>KAMU HİZMET STANDARTLARI TABLOSU</a:t>
                          </a:r>
                          <a:endParaRPr lang="tr-TR" sz="1800" dirty="0" smtClean="0">
                            <a:solidFill>
                              <a:srgbClr val="000000"/>
                            </a:solidFill>
                            <a:latin typeface="Arial" charset="0"/>
                            <a:cs typeface="Arial" charset="0"/>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tbl>
      <w:tblPr>
        <w:tblW w:w="0" w:type="auto"/>
        <w:tblCellMar>
          <w:left w:w="0" w:type="dxa"/>
          <w:right w:w="0" w:type="dxa"/>
        </w:tblCellMar>
        <w:tblLook w:val="04A0"/>
      </w:tblPr>
      <w:tblGrid>
        <w:gridCol w:w="739"/>
        <w:gridCol w:w="2623"/>
        <w:gridCol w:w="4082"/>
        <w:gridCol w:w="1844"/>
      </w:tblGrid>
      <w:tr w:rsidR="00A1335E" w:rsidRPr="00A1335E" w:rsidTr="00A1335E">
        <w:trPr>
          <w:trHeight w:val="982"/>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textDirection w:val="btLr"/>
            <w:hideMark/>
          </w:tcPr>
          <w:p w:rsidR="00000000" w:rsidRPr="00A1335E" w:rsidRDefault="00A1335E" w:rsidP="00A1335E">
            <w:r w:rsidRPr="00A1335E">
              <w:rPr>
                <w:b/>
                <w:bCs/>
              </w:rPr>
              <w:t xml:space="preserve">   SIRA NO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hideMark/>
          </w:tcPr>
          <w:p w:rsidR="00000000" w:rsidRPr="00A1335E" w:rsidRDefault="00A1335E" w:rsidP="00A1335E">
            <w:r w:rsidRPr="00A1335E">
              <w:rPr>
                <w:b/>
                <w:bCs/>
              </w:rPr>
              <w:t xml:space="preserve">HİZMET  ADI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hideMark/>
          </w:tcPr>
          <w:p w:rsidR="00000000" w:rsidRPr="00A1335E" w:rsidRDefault="00A1335E" w:rsidP="00A1335E">
            <w:r w:rsidRPr="00A1335E">
              <w:rPr>
                <w:b/>
                <w:bCs/>
              </w:rPr>
              <w:t xml:space="preserve">İSTENEN BELGELER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4" w:type="dxa"/>
              <w:left w:w="108" w:type="dxa"/>
              <w:bottom w:w="0" w:type="dxa"/>
              <w:right w:w="108" w:type="dxa"/>
            </w:tcMar>
            <w:hideMark/>
          </w:tcPr>
          <w:p w:rsidR="00A1335E" w:rsidRPr="00A1335E" w:rsidRDefault="00A1335E" w:rsidP="00A1335E">
            <w:r w:rsidRPr="00A1335E">
              <w:rPr>
                <w:b/>
                <w:bCs/>
              </w:rPr>
              <w:t xml:space="preserve">HİZMETİN TAMAMLANMA SÜRESİ </w:t>
            </w:r>
          </w:p>
          <w:p w:rsidR="00000000" w:rsidRPr="00A1335E" w:rsidRDefault="00A1335E" w:rsidP="00A1335E">
            <w:r w:rsidRPr="00A1335E">
              <w:rPr>
                <w:b/>
                <w:bCs/>
              </w:rPr>
              <w:t xml:space="preserve">(EN GEÇ) </w:t>
            </w:r>
          </w:p>
        </w:tc>
      </w:tr>
      <w:tr w:rsidR="00A1335E" w:rsidRPr="00A1335E" w:rsidTr="00A1335E">
        <w:trPr>
          <w:trHeight w:val="861"/>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Öğrenci Kayıt İşlemleri</w:t>
            </w:r>
            <w:r w:rsidRPr="00A1335E">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t xml:space="preserve">1.T.C Kimlik Numarası Olan Nüfus Cüzdanı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20 </w:t>
            </w:r>
            <w:proofErr w:type="spellStart"/>
            <w:r w:rsidRPr="00A1335E">
              <w:rPr>
                <w:b/>
                <w:bCs/>
              </w:rPr>
              <w:t>Dk</w:t>
            </w:r>
            <w:proofErr w:type="spellEnd"/>
            <w:r w:rsidRPr="00A1335E">
              <w:t xml:space="preserve"> </w:t>
            </w:r>
          </w:p>
        </w:tc>
      </w:tr>
      <w:tr w:rsidR="00A1335E" w:rsidRPr="00A1335E" w:rsidTr="00A1335E">
        <w:trPr>
          <w:trHeight w:val="80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 xml:space="preserve">2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Öğrenci Nakil İşlemleri</w:t>
            </w:r>
            <w:r w:rsidRPr="00A1335E">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t>1.Veli Dilekçesi</w:t>
            </w:r>
            <w:r w:rsidRPr="00A1335E">
              <w:br/>
              <w:t xml:space="preserve">2.TC Kimlik numarası olan nüfus cüzdanı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 xml:space="preserve">20 </w:t>
            </w:r>
            <w:proofErr w:type="spellStart"/>
            <w:r w:rsidRPr="00A1335E">
              <w:rPr>
                <w:b/>
                <w:bCs/>
              </w:rPr>
              <w:t>Dk</w:t>
            </w:r>
            <w:proofErr w:type="spellEnd"/>
            <w:r w:rsidRPr="00A1335E">
              <w:t xml:space="preserve"> </w:t>
            </w:r>
          </w:p>
        </w:tc>
      </w:tr>
      <w:tr w:rsidR="00A1335E" w:rsidRPr="00A1335E" w:rsidTr="00A1335E">
        <w:trPr>
          <w:trHeight w:val="799"/>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3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Denklik ile Kayıt İşlemleri</w:t>
            </w:r>
            <w:r w:rsidRPr="00A1335E">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T.C Kimlik Numaralı Nüfus Cüzdanı </w:t>
            </w:r>
          </w:p>
          <w:p w:rsidR="00000000" w:rsidRPr="00A1335E" w:rsidRDefault="00A1335E" w:rsidP="00A1335E">
            <w:r w:rsidRPr="00A1335E">
              <w:t xml:space="preserve">2. Denklik Belgesi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20 </w:t>
            </w:r>
            <w:proofErr w:type="spellStart"/>
            <w:r w:rsidRPr="00A1335E">
              <w:rPr>
                <w:b/>
                <w:bCs/>
              </w:rPr>
              <w:t>Dk</w:t>
            </w:r>
            <w:proofErr w:type="spellEnd"/>
            <w:r w:rsidRPr="00A1335E">
              <w:t xml:space="preserve"> </w:t>
            </w:r>
          </w:p>
        </w:tc>
      </w:tr>
      <w:tr w:rsidR="00A1335E" w:rsidRPr="00A1335E" w:rsidTr="00A1335E">
        <w:trPr>
          <w:trHeight w:val="159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Öğrenim Belgesi ve Diploma Kayıt Örneği </w:t>
            </w:r>
            <w:r w:rsidRPr="00A1335E">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A1335E" w:rsidRPr="00A1335E" w:rsidRDefault="00A1335E" w:rsidP="00A1335E">
            <w:r w:rsidRPr="00A1335E">
              <w:t>1. Dilekçe</w:t>
            </w:r>
            <w:r w:rsidRPr="00A1335E">
              <w:br/>
              <w:t xml:space="preserve">2. Savaş, sel, deprem, yangın gibi nedenlerle okul kayıtları yok olmuş ise, öğrenim durumlarını kanıtlayan belge.  </w:t>
            </w:r>
          </w:p>
          <w:p w:rsidR="00000000" w:rsidRPr="00A1335E" w:rsidRDefault="00A1335E" w:rsidP="00A1335E">
            <w:r w:rsidRPr="00A1335E">
              <w:t xml:space="preserve">3.TC Kimlik No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4" w:type="dxa"/>
              <w:left w:w="108" w:type="dxa"/>
              <w:bottom w:w="0" w:type="dxa"/>
              <w:right w:w="108" w:type="dxa"/>
            </w:tcMar>
            <w:hideMark/>
          </w:tcPr>
          <w:p w:rsidR="00000000" w:rsidRPr="00A1335E" w:rsidRDefault="00A1335E" w:rsidP="00A1335E">
            <w:r w:rsidRPr="00A1335E">
              <w:rPr>
                <w:b/>
                <w:bCs/>
              </w:rPr>
              <w:t xml:space="preserve">20 </w:t>
            </w:r>
            <w:proofErr w:type="spellStart"/>
            <w:r w:rsidRPr="00A1335E">
              <w:rPr>
                <w:b/>
                <w:bCs/>
              </w:rPr>
              <w:t>Dk</w:t>
            </w:r>
            <w:proofErr w:type="spellEnd"/>
            <w:r w:rsidRPr="00A1335E">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Öğrenci Belgesi</w:t>
            </w:r>
            <w:r w:rsidRPr="00A1335E">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Velinin sözlü beyanı </w:t>
            </w:r>
          </w:p>
          <w:p w:rsidR="00000000" w:rsidRPr="00A1335E" w:rsidRDefault="00A1335E" w:rsidP="00A1335E">
            <w:r w:rsidRPr="00A1335E">
              <w:t xml:space="preserve">2. Öğrenci Okul Numarası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000000" w:rsidRPr="00A1335E" w:rsidRDefault="00A1335E" w:rsidP="00A1335E">
            <w:r w:rsidRPr="00A1335E">
              <w:rPr>
                <w:b/>
                <w:bCs/>
              </w:rPr>
              <w:t xml:space="preserve">15 </w:t>
            </w:r>
            <w:proofErr w:type="spellStart"/>
            <w:r w:rsidRPr="00A1335E">
              <w:rPr>
                <w:b/>
                <w:bCs/>
              </w:rPr>
              <w:t>Dk</w:t>
            </w:r>
            <w:proofErr w:type="spellEnd"/>
            <w:r w:rsidRPr="00A1335E">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İlköğretim Diploması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1.Sözlü Başvuru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7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Merkezi Sınav İşlemleri (SBS-OGS)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Banka dekontu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30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8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Merkezi Sınav İşlemleri (Parasız Yatılılık ve Bursluluk Sınavı)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Öğrenci ailesinin maddi durumunu gösterir beyanname ve ekleri </w:t>
            </w:r>
            <w:r w:rsidRPr="00A1335E">
              <w:br/>
              <w:t xml:space="preserve">2. Öğretmen çocuğu kontenjanından başvuru yapacak öğrenciler için; öğretmen çocuğu olduğunu gösterir belge </w:t>
            </w:r>
            <w:r w:rsidRPr="00A1335E">
              <w:br/>
              <w:t xml:space="preserve">3. 2828 ile 5395 sayılı Kanunlar kapsamına giren çocuk ve ailesinin oturduğu yerde ilköğretim okulu (taşımalı eğitim kapsamında olanlar dâhil) bulunmayan çocuk olduklarına dair belgeler, </w:t>
            </w:r>
            <w:r w:rsidRPr="00A1335E">
              <w:br/>
              <w:t xml:space="preserve">4. Nüfus kayıt Örneği </w:t>
            </w:r>
            <w:r w:rsidRPr="00A1335E">
              <w:br/>
            </w:r>
            <w:r w:rsidRPr="00A1335E">
              <w:lastRenderedPageBreak/>
              <w:t xml:space="preserve">5. Ek-1 Belgesi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lastRenderedPageBreak/>
              <w:t xml:space="preserve">30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lastRenderedPageBreak/>
              <w:t xml:space="preserve">9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OGS İşlemleri(Başvuru tercih)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1.Başvuru Formu </w:t>
            </w:r>
          </w:p>
          <w:p w:rsidR="00A1335E" w:rsidRPr="00A1335E" w:rsidRDefault="00A1335E" w:rsidP="00A1335E">
            <w:r w:rsidRPr="00A1335E">
              <w:t xml:space="preserve">2.Tercih Formu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30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Öğrenci İzinleri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1.Velinin yazılı başvurusu üzerine verilir.</w:t>
            </w:r>
            <w:r w:rsidRPr="00A1335E">
              <w:br/>
              <w:t xml:space="preserve">2.Sağlık nedeni ile ilgili izinlerde sağlık raporu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 Görev Yeri Belgesi ve Hizmet Cetveli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TC Kimlik Numarası </w:t>
            </w:r>
          </w:p>
          <w:p w:rsidR="00A1335E" w:rsidRPr="00A1335E" w:rsidRDefault="00A1335E" w:rsidP="00A1335E">
            <w:r w:rsidRPr="00A1335E">
              <w:t xml:space="preserve">2. Emekli Sicil Numarası </w:t>
            </w:r>
          </w:p>
          <w:p w:rsidR="00A1335E" w:rsidRPr="00A1335E" w:rsidRDefault="00A1335E" w:rsidP="00A1335E">
            <w:r w:rsidRPr="00A1335E">
              <w:t xml:space="preserve">3. İl Sicil Numarası </w:t>
            </w:r>
          </w:p>
          <w:p w:rsidR="00A1335E" w:rsidRPr="00A1335E" w:rsidRDefault="00A1335E" w:rsidP="00A1335E">
            <w:r w:rsidRPr="00A1335E">
              <w:t xml:space="preserve">4. Ev Adresi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30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 Maaş Bordrosu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TC Kimlik Numarası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13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Öğretmenlerin yer değiştirme talepleri (Nakil)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Elektronik başvuru ve sözlü başvuru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14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Öğretmenlerin göreve başlaması (İlk Atama)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Sözlü başvuru ve kararname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Öğretmenlerin göreve başlaması (Naklen Atama)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Kararname </w:t>
            </w:r>
            <w:r w:rsidRPr="00A1335E">
              <w:br/>
              <w:t xml:space="preserve">2. Maaş Nakil Bildirimi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Öğretmen Nakil İşlemleri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Atama Kararnamesi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17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proofErr w:type="spellStart"/>
            <w:r w:rsidRPr="00A1335E">
              <w:rPr>
                <w:b/>
                <w:bCs/>
              </w:rPr>
              <w:t>Hizmetiçi</w:t>
            </w:r>
            <w:proofErr w:type="spellEnd"/>
            <w:r w:rsidRPr="00A1335E">
              <w:rPr>
                <w:b/>
                <w:bCs/>
              </w:rPr>
              <w:t xml:space="preserve"> Eğitim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Elektronik başvuru, sözlü olarak idareye bildirme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Aynı gün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18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proofErr w:type="spellStart"/>
            <w:r w:rsidRPr="00A1335E">
              <w:rPr>
                <w:b/>
                <w:bCs/>
              </w:rPr>
              <w:t>İlsis</w:t>
            </w:r>
            <w:proofErr w:type="spellEnd"/>
            <w:r w:rsidRPr="00A1335E">
              <w:rPr>
                <w:b/>
                <w:bCs/>
              </w:rPr>
              <w:t xml:space="preserve"> Personel Bilgileri ile İlgili İşlemler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Konuyla ilgili dilekçe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Aynı gün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19</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İzin Talep İşlemleri (Yıllık izin)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İzin talep form dilekçesi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lastRenderedPageBreak/>
              <w:t xml:space="preserve">20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İzin Talep İşlemleri (Mazeret izni)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İzin talep form dilekçesi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Sağlık raporunun izne çevrilmesi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Rapor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15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Derece ve Kademe Terfi İşlemleri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İlden derece teklif yazılarının tebliği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23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Hizmet Cetveli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Sözlü Başvuru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20 </w:t>
            </w:r>
            <w:proofErr w:type="spellStart"/>
            <w:r w:rsidRPr="00A1335E">
              <w:rPr>
                <w:b/>
                <w:bCs/>
              </w:rPr>
              <w:t>Dk</w:t>
            </w:r>
            <w:proofErr w:type="spellEnd"/>
            <w:r w:rsidRPr="00A1335E">
              <w:rPr>
                <w:b/>
                <w:bCs/>
              </w:rPr>
              <w:t xml:space="preserve">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24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Derece/Kademe Terfi işlemleri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 Gecikmelerde dilekçe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Aynı gün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İlköğretim Okullarında Veli Tarafından Öğrenci Davranışlarını Değerlendirme Kurulu Kararına İtiraz Etme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Veli itiraz dilekçesi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 Hafta </w:t>
            </w:r>
          </w:p>
        </w:tc>
      </w:tr>
      <w:tr w:rsidR="00A1335E" w:rsidRPr="00A1335E" w:rsidTr="00A1335E">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26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İlköğretim Okullarında Sınıf Yükseltme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r w:rsidRPr="00A1335E">
              <w:t xml:space="preserve">1-Veli dilekçesi </w:t>
            </w:r>
            <w:r w:rsidRPr="00A1335E">
              <w:br/>
              <w:t xml:space="preserve">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4" w:type="dxa"/>
              <w:left w:w="108" w:type="dxa"/>
              <w:bottom w:w="0" w:type="dxa"/>
              <w:right w:w="108" w:type="dxa"/>
            </w:tcMar>
            <w:hideMark/>
          </w:tcPr>
          <w:p w:rsidR="00A1335E" w:rsidRPr="00A1335E" w:rsidRDefault="00A1335E" w:rsidP="00A1335E">
            <w:pPr>
              <w:rPr>
                <w:b/>
                <w:bCs/>
              </w:rPr>
            </w:pPr>
            <w:r w:rsidRPr="00A1335E">
              <w:rPr>
                <w:b/>
                <w:bCs/>
              </w:rPr>
              <w:t xml:space="preserve">1 HAFTA </w:t>
            </w:r>
          </w:p>
        </w:tc>
      </w:tr>
    </w:tbl>
    <w:p w:rsidR="00A1335E" w:rsidRDefault="00A1335E">
      <w:r w:rsidRPr="00A1335E">
        <w:drawing>
          <wp:inline distT="0" distB="0" distL="0" distR="0">
            <wp:extent cx="5760720" cy="1626059"/>
            <wp:effectExtent l="19050" t="0" r="0" b="0"/>
            <wp:docPr id="3"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312" cy="2500331"/>
                      <a:chOff x="142844" y="4143380"/>
                      <a:chExt cx="8858312" cy="2500331"/>
                    </a:xfrm>
                  </a:grpSpPr>
                  <a:sp>
                    <a:nvSpPr>
                      <a:cNvPr id="10" name="9 Metin Yer Tutucusu"/>
                      <a:cNvSpPr>
                        <a:spLocks noGrp="1"/>
                      </a:cNvSpPr>
                    </a:nvSpPr>
                    <a:spPr bwMode="auto">
                      <a:xfrm>
                        <a:off x="142844" y="4143380"/>
                        <a:ext cx="8858312" cy="2500331"/>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9525">
                        <a:noFill/>
                        <a:miter lim="800000"/>
                        <a:headEnd/>
                        <a:tailEnd/>
                      </a:ln>
                      <a:scene3d>
                        <a:camera prst="orthographicFront"/>
                        <a:lightRig rig="threePt" dir="t"/>
                      </a:scene3d>
                      <a:sp3d>
                        <a:bevelT w="152400" h="50800" prst="softRound"/>
                      </a:sp3d>
                    </a:spPr>
                    <a:txSp>
                      <a:txBody>
                        <a:bodyPr vert="horz" wrap="square" lIns="91440" tIns="45720" rIns="91440" bIns="45720" numCol="1" anchor="t" anchorCtr="0" compatLnSpc="1">
                          <a:prstTxWarp prst="textNoShape">
                            <a:avLst/>
                          </a:prstTxWarp>
                          <a:normAutofit/>
                        </a:bodyPr>
                        <a:lstStyle>
                          <a:lvl1pPr marL="0" indent="0" algn="l" rtl="0" eaLnBrk="0" fontAlgn="base" hangingPunct="0">
                            <a:spcBef>
                              <a:spcPct val="20000"/>
                            </a:spcBef>
                            <a:spcAft>
                              <a:spcPct val="0"/>
                            </a:spcAft>
                            <a:buFont typeface="Arial" charset="0"/>
                            <a:buNone/>
                            <a:defRPr sz="1400" kern="1200">
                              <a:solidFill>
                                <a:schemeClr val="dk1"/>
                              </a:solidFill>
                              <a:latin typeface="+mn-lt"/>
                              <a:ea typeface="+mn-ea"/>
                              <a:cs typeface="+mn-cs"/>
                            </a:defRPr>
                          </a:lvl1pPr>
                          <a:lvl2pPr marL="457200" indent="0" algn="l" rtl="0" eaLnBrk="0" fontAlgn="base" hangingPunct="0">
                            <a:spcBef>
                              <a:spcPct val="20000"/>
                            </a:spcBef>
                            <a:spcAft>
                              <a:spcPct val="0"/>
                            </a:spcAft>
                            <a:buFont typeface="Arial" charset="0"/>
                            <a:buNone/>
                            <a:defRPr sz="1200" kern="1200">
                              <a:solidFill>
                                <a:schemeClr val="dk1"/>
                              </a:solidFill>
                              <a:latin typeface="+mn-lt"/>
                              <a:ea typeface="+mn-ea"/>
                              <a:cs typeface="+mn-cs"/>
                            </a:defRPr>
                          </a:lvl2pPr>
                          <a:lvl3pPr marL="914400" indent="0" algn="l" rtl="0" eaLnBrk="0" fontAlgn="base" hangingPunct="0">
                            <a:spcBef>
                              <a:spcPct val="20000"/>
                            </a:spcBef>
                            <a:spcAft>
                              <a:spcPct val="0"/>
                            </a:spcAft>
                            <a:buFont typeface="Arial" charset="0"/>
                            <a:buNone/>
                            <a:defRPr sz="1000" kern="1200">
                              <a:solidFill>
                                <a:schemeClr val="dk1"/>
                              </a:solidFill>
                              <a:latin typeface="+mn-lt"/>
                              <a:ea typeface="+mn-ea"/>
                              <a:cs typeface="+mn-cs"/>
                            </a:defRPr>
                          </a:lvl3pPr>
                          <a:lvl4pPr marL="1371600" indent="0" algn="l" rtl="0" eaLnBrk="0" fontAlgn="base" hangingPunct="0">
                            <a:spcBef>
                              <a:spcPct val="20000"/>
                            </a:spcBef>
                            <a:spcAft>
                              <a:spcPct val="0"/>
                            </a:spcAft>
                            <a:buFont typeface="Arial" charset="0"/>
                            <a:buNone/>
                            <a:defRPr sz="900" kern="1200">
                              <a:solidFill>
                                <a:schemeClr val="dk1"/>
                              </a:solidFill>
                              <a:latin typeface="+mn-lt"/>
                              <a:ea typeface="+mn-ea"/>
                              <a:cs typeface="+mn-cs"/>
                            </a:defRPr>
                          </a:lvl4pPr>
                          <a:lvl5pPr marL="1828800" indent="0" algn="l" rtl="0" eaLnBrk="0" fontAlgn="base" hangingPunct="0">
                            <a:spcBef>
                              <a:spcPct val="20000"/>
                            </a:spcBef>
                            <a:spcAft>
                              <a:spcPct val="0"/>
                            </a:spcAft>
                            <a:buFont typeface="Arial" charset="0"/>
                            <a:buNone/>
                            <a:defRPr sz="900" kern="1200">
                              <a:solidFill>
                                <a:schemeClr val="dk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dk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dk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dk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dk1"/>
                              </a:solidFill>
                              <a:latin typeface="+mn-lt"/>
                              <a:ea typeface="+mn-ea"/>
                              <a:cs typeface="+mn-cs"/>
                            </a:defRPr>
                          </a:lvl9pPr>
                        </a:lstStyle>
                        <a:p>
                          <a:pPr eaLnBrk="1" hangingPunct="1">
                            <a:defRPr/>
                          </a:pPr>
                          <a:r>
                            <a:rPr lang="tr-TR" sz="1100" dirty="0" smtClean="0">
                              <a:solidFill>
                                <a:srgbClr val="000000"/>
                              </a:solidFill>
                              <a:latin typeface="Arial" charset="0"/>
                              <a:cs typeface="Arial" charset="0"/>
                            </a:rPr>
                            <a:t>            Başvuru esnasında yukarıda belirtilen belgelerin dışında belge istenmesi,eksiksiz belge ile başvuru yapılmasına rağmen,hizmetin belirtilen sürede tamamlanmaması veya yukarıda tabloda bazı hizmetlerin bulunmadığının tespiti durumunda ilk müracaat yerine ya da ikinci müracaat yerine başvurunuz.</a:t>
                          </a:r>
                        </a:p>
                        <a:p>
                          <a:pPr eaLnBrk="1" hangingPunct="1">
                            <a:defRPr/>
                          </a:pPr>
                          <a:r>
                            <a:rPr lang="tr-TR" sz="1100" dirty="0" smtClean="0">
                              <a:solidFill>
                                <a:srgbClr val="000000"/>
                              </a:solidFill>
                              <a:latin typeface="Arial" charset="0"/>
                              <a:cs typeface="Arial" charset="0"/>
                            </a:rPr>
                            <a:t> </a:t>
                          </a:r>
                        </a:p>
                        <a:p>
                          <a:pPr eaLnBrk="1" hangingPunct="1">
                            <a:defRPr/>
                          </a:pPr>
                          <a:r>
                            <a:rPr lang="tr-TR" sz="1100" dirty="0" smtClean="0">
                              <a:solidFill>
                                <a:srgbClr val="000000"/>
                              </a:solidFill>
                              <a:latin typeface="Arial" charset="0"/>
                              <a:cs typeface="Arial" charset="0"/>
                            </a:rPr>
                            <a:t>İlk Müracaat Yer     : KARAKÖY  İLKOKULU		</a:t>
                          </a:r>
                        </a:p>
                        <a:p>
                          <a:pPr eaLnBrk="1" hangingPunct="1">
                            <a:defRPr/>
                          </a:pPr>
                          <a:r>
                            <a:rPr lang="tr-TR" sz="1100" dirty="0" smtClean="0">
                              <a:solidFill>
                                <a:srgbClr val="000000"/>
                              </a:solidFill>
                              <a:latin typeface="Arial" charset="0"/>
                              <a:cs typeface="Arial" charset="0"/>
                            </a:rPr>
                            <a:t>İsim	         :İlhami ÇEPEL	</a:t>
                          </a:r>
                        </a:p>
                        <a:p>
                          <a:pPr eaLnBrk="1" hangingPunct="1">
                            <a:defRPr/>
                          </a:pPr>
                          <a:r>
                            <a:rPr lang="tr-TR" sz="1100" dirty="0" smtClean="0">
                              <a:solidFill>
                                <a:srgbClr val="000000"/>
                              </a:solidFill>
                              <a:latin typeface="Arial" charset="0"/>
                              <a:cs typeface="Arial" charset="0"/>
                            </a:rPr>
                            <a:t>Unvan	        : Okul  Müdürü	</a:t>
                          </a:r>
                        </a:p>
                        <a:p>
                          <a:pPr eaLnBrk="1" hangingPunct="1">
                            <a:defRPr/>
                          </a:pPr>
                          <a:r>
                            <a:rPr lang="tr-TR" sz="1100" dirty="0" smtClean="0">
                              <a:solidFill>
                                <a:srgbClr val="000000"/>
                              </a:solidFill>
                              <a:latin typeface="Arial" charset="0"/>
                              <a:cs typeface="Arial" charset="0"/>
                            </a:rPr>
                            <a:t>Adres	        : Karaköy Mahallesi Köy  İçi  Küme Evler   No:178/A</a:t>
                          </a:r>
                        </a:p>
                        <a:p>
                          <a:pPr eaLnBrk="1" hangingPunct="1">
                            <a:defRPr/>
                          </a:pPr>
                          <a:r>
                            <a:rPr lang="tr-TR" sz="1100" dirty="0" smtClean="0">
                              <a:solidFill>
                                <a:schemeClr val="tx1"/>
                              </a:solidFill>
                              <a:latin typeface="Arial" charset="0"/>
                              <a:cs typeface="Arial" charset="0"/>
                            </a:rPr>
                            <a:t>Tel:	        </a:t>
                          </a:r>
                          <a:r>
                            <a:rPr lang="tr-TR" sz="1100" dirty="0">
                              <a:solidFill>
                                <a:schemeClr val="tx1"/>
                              </a:solidFill>
                              <a:latin typeface="Arial" charset="0"/>
                              <a:cs typeface="Arial" charset="0"/>
                            </a:rPr>
                            <a:t> </a:t>
                          </a:r>
                          <a:r>
                            <a:rPr lang="tr-TR" sz="1100" dirty="0" smtClean="0">
                              <a:solidFill>
                                <a:schemeClr val="tx1"/>
                              </a:solidFill>
                              <a:latin typeface="Arial" charset="0"/>
                              <a:cs typeface="Arial" charset="0"/>
                            </a:rPr>
                            <a:t>:0 252 6777371</a:t>
                          </a:r>
                          <a:r>
                            <a:rPr lang="tr-TR" sz="1100" dirty="0" smtClean="0">
                              <a:solidFill>
                                <a:srgbClr val="000000"/>
                              </a:solidFill>
                              <a:latin typeface="Arial" charset="0"/>
                              <a:cs typeface="Arial" charset="0"/>
                            </a:rPr>
                            <a:t>	</a:t>
                          </a:r>
                        </a:p>
                        <a:p>
                          <a:pPr eaLnBrk="1" hangingPunct="1">
                            <a:defRPr/>
                          </a:pPr>
                          <a:r>
                            <a:rPr lang="tr-TR" sz="1100" dirty="0" smtClean="0">
                              <a:solidFill>
                                <a:srgbClr val="000000"/>
                              </a:solidFill>
                              <a:latin typeface="Arial" charset="0"/>
                              <a:cs typeface="Arial" charset="0"/>
                            </a:rPr>
                            <a:t>e-Posta	        : 754907@</a:t>
                          </a:r>
                          <a:r>
                            <a:rPr lang="tr-TR" sz="1100" dirty="0" err="1" smtClean="0">
                              <a:solidFill>
                                <a:srgbClr val="000000"/>
                              </a:solidFill>
                              <a:latin typeface="Arial" charset="0"/>
                              <a:cs typeface="Arial" charset="0"/>
                            </a:rPr>
                            <a:t>meb</a:t>
                          </a:r>
                          <a:r>
                            <a:rPr lang="tr-TR" sz="1100" dirty="0" smtClean="0">
                              <a:solidFill>
                                <a:srgbClr val="000000"/>
                              </a:solidFill>
                              <a:latin typeface="Arial" charset="0"/>
                              <a:cs typeface="Arial" charset="0"/>
                            </a:rPr>
                            <a:t>.k12.tr		</a:t>
                          </a:r>
                        </a:p>
                        <a:p>
                          <a:pPr eaLnBrk="1" hangingPunct="1">
                            <a:defRPr/>
                          </a:pPr>
                          <a:endParaRPr lang="tr-TR" dirty="0" smtClean="0">
                            <a:solidFill>
                              <a:srgbClr val="000000"/>
                            </a:solidFill>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A1335E" w:rsidRDefault="00A1335E"/>
    <w:sectPr w:rsidR="00A1335E" w:rsidSect="00935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1335E"/>
    <w:rsid w:val="00935518"/>
    <w:rsid w:val="00A133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1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33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335E"/>
    <w:rPr>
      <w:rFonts w:ascii="Tahoma" w:hAnsi="Tahoma" w:cs="Tahoma"/>
      <w:sz w:val="16"/>
      <w:szCs w:val="16"/>
    </w:rPr>
  </w:style>
  <w:style w:type="paragraph" w:styleId="NormalWeb">
    <w:name w:val="Normal (Web)"/>
    <w:basedOn w:val="Normal"/>
    <w:uiPriority w:val="99"/>
    <w:unhideWhenUsed/>
    <w:rsid w:val="00A133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163468">
      <w:bodyDiv w:val="1"/>
      <w:marLeft w:val="0"/>
      <w:marRight w:val="0"/>
      <w:marTop w:val="0"/>
      <w:marBottom w:val="0"/>
      <w:divBdr>
        <w:top w:val="none" w:sz="0" w:space="0" w:color="auto"/>
        <w:left w:val="none" w:sz="0" w:space="0" w:color="auto"/>
        <w:bottom w:val="none" w:sz="0" w:space="0" w:color="auto"/>
        <w:right w:val="none" w:sz="0" w:space="0" w:color="auto"/>
      </w:divBdr>
    </w:div>
    <w:div w:id="325013439">
      <w:bodyDiv w:val="1"/>
      <w:marLeft w:val="0"/>
      <w:marRight w:val="0"/>
      <w:marTop w:val="0"/>
      <w:marBottom w:val="0"/>
      <w:divBdr>
        <w:top w:val="none" w:sz="0" w:space="0" w:color="auto"/>
        <w:left w:val="none" w:sz="0" w:space="0" w:color="auto"/>
        <w:bottom w:val="none" w:sz="0" w:space="0" w:color="auto"/>
        <w:right w:val="none" w:sz="0" w:space="0" w:color="auto"/>
      </w:divBdr>
    </w:div>
    <w:div w:id="336926659">
      <w:bodyDiv w:val="1"/>
      <w:marLeft w:val="0"/>
      <w:marRight w:val="0"/>
      <w:marTop w:val="0"/>
      <w:marBottom w:val="0"/>
      <w:divBdr>
        <w:top w:val="none" w:sz="0" w:space="0" w:color="auto"/>
        <w:left w:val="none" w:sz="0" w:space="0" w:color="auto"/>
        <w:bottom w:val="none" w:sz="0" w:space="0" w:color="auto"/>
        <w:right w:val="none" w:sz="0" w:space="0" w:color="auto"/>
      </w:divBdr>
    </w:div>
    <w:div w:id="1307513718">
      <w:bodyDiv w:val="1"/>
      <w:marLeft w:val="0"/>
      <w:marRight w:val="0"/>
      <w:marTop w:val="0"/>
      <w:marBottom w:val="0"/>
      <w:divBdr>
        <w:top w:val="none" w:sz="0" w:space="0" w:color="auto"/>
        <w:left w:val="none" w:sz="0" w:space="0" w:color="auto"/>
        <w:bottom w:val="none" w:sz="0" w:space="0" w:color="auto"/>
        <w:right w:val="none" w:sz="0" w:space="0" w:color="auto"/>
      </w:divBdr>
    </w:div>
    <w:div w:id="1493911057">
      <w:bodyDiv w:val="1"/>
      <w:marLeft w:val="0"/>
      <w:marRight w:val="0"/>
      <w:marTop w:val="0"/>
      <w:marBottom w:val="0"/>
      <w:divBdr>
        <w:top w:val="none" w:sz="0" w:space="0" w:color="auto"/>
        <w:left w:val="none" w:sz="0" w:space="0" w:color="auto"/>
        <w:bottom w:val="none" w:sz="0" w:space="0" w:color="auto"/>
        <w:right w:val="none" w:sz="0" w:space="0" w:color="auto"/>
      </w:divBdr>
    </w:div>
    <w:div w:id="1631284659">
      <w:bodyDiv w:val="1"/>
      <w:marLeft w:val="0"/>
      <w:marRight w:val="0"/>
      <w:marTop w:val="0"/>
      <w:marBottom w:val="0"/>
      <w:divBdr>
        <w:top w:val="none" w:sz="0" w:space="0" w:color="auto"/>
        <w:left w:val="none" w:sz="0" w:space="0" w:color="auto"/>
        <w:bottom w:val="none" w:sz="0" w:space="0" w:color="auto"/>
        <w:right w:val="none" w:sz="0" w:space="0" w:color="auto"/>
      </w:divBdr>
    </w:div>
    <w:div w:id="1724940267">
      <w:bodyDiv w:val="1"/>
      <w:marLeft w:val="0"/>
      <w:marRight w:val="0"/>
      <w:marTop w:val="0"/>
      <w:marBottom w:val="0"/>
      <w:divBdr>
        <w:top w:val="none" w:sz="0" w:space="0" w:color="auto"/>
        <w:left w:val="none" w:sz="0" w:space="0" w:color="auto"/>
        <w:bottom w:val="none" w:sz="0" w:space="0" w:color="auto"/>
        <w:right w:val="none" w:sz="0" w:space="0" w:color="auto"/>
      </w:divBdr>
    </w:div>
    <w:div w:id="19331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2019-11-14T06:55:00Z</dcterms:created>
  <dcterms:modified xsi:type="dcterms:W3CDTF">2019-11-14T07:01:00Z</dcterms:modified>
</cp:coreProperties>
</file>